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del Sistema DIF Municipal</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Programas Asistenciales, Asistencia Jurídica, elaboración de diagnósticos y/o psicoterapias, programas de alimentación y servicio médico.</w:t>
      </w:r>
    </w:p>
    <w:p w:rsidR="00000000" w:rsidDel="00000000" w:rsidP="00000000" w:rsidRDefault="00000000" w:rsidRPr="00000000" w14:paraId="00000007">
      <w:pPr>
        <w:shd w:fill="ffffff" w:val="clear"/>
        <w:tabs>
          <w:tab w:val="left" w:pos="2990"/>
        </w:tabs>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9">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A">
      <w:pPr>
        <w:shd w:fill="ffffff" w:val="clear"/>
        <w:ind w:right="49"/>
        <w:contextualSpacing w:val="0"/>
        <w:jc w:val="both"/>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Adicionalmente, se recaba datos sensibles como: Estado de salud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B">
      <w:pPr>
        <w:shd w:fill="ffffff" w:val="clear"/>
        <w:ind w:right="24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y transferencias es (o son): dar cumplimiento a lo establecido en el “Manual de Operación del Sistema Integral de Información de Padrones de Programas Gubernamentales”, publicado en el Diario Oficial de la Federación el pasado 29 de junio de 2011. Artículo 72 de la Ley de Transparencia Y Acceso a la Información Pública para el Estado de Veracruz de Ignacio de La Llave. Artículos 84, 85, 86; 92,93 y 94 de la ley 316 de Protección de Datos Personales en Posesión de Sujetos Obligados para el Estado de Veracruz de Ignacio de la Llave. Ley 316 Para la Tutela de Datos Personales en el Estado de Veracruz de Ignacio de la Llave, Artículo 3. </w:t>
      </w:r>
    </w:p>
    <w:p w:rsidR="00000000" w:rsidDel="00000000" w:rsidP="00000000" w:rsidRDefault="00000000" w:rsidRPr="00000000" w14:paraId="0000000E">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son compartidos con las personas, empresas, organizaciones y autoridades distintas al responsable, y para los fines que se describen a continuación:</w:t>
      </w:r>
    </w:p>
    <w:tbl>
      <w:tblPr>
        <w:tblStyle w:val="Table1"/>
        <w:tblW w:w="877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215"/>
        <w:gridCol w:w="1665"/>
        <w:gridCol w:w="2895"/>
        <w:tblGridChange w:id="0">
          <w:tblGrid>
            <w:gridCol w:w="4215"/>
            <w:gridCol w:w="1665"/>
            <w:gridCol w:w="2895"/>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País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3">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Finalidad</w:t>
            </w: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Sistema DIF del Estado de Veracruz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Integración del archivo de programas de apoyos</w:t>
            </w:r>
          </w:p>
        </w:tc>
      </w:tr>
    </w:tbl>
    <w:p w:rsidR="00000000" w:rsidDel="00000000" w:rsidP="00000000" w:rsidRDefault="00000000" w:rsidRPr="00000000" w14:paraId="00000017">
      <w:pPr>
        <w:shd w:fill="ffffff" w:val="clea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A">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B">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2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8">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A">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B">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D">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transparencia.puebloviejo@gmail.com</w:t>
      </w:r>
    </w:p>
    <w:p w:rsidR="00000000" w:rsidDel="00000000" w:rsidP="00000000" w:rsidRDefault="00000000" w:rsidRPr="00000000" w14:paraId="0000002F">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3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32">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