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Asuntos Jurídicos</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 </w:t>
      </w:r>
    </w:p>
    <w:p w:rsidR="00000000" w:rsidDel="00000000" w:rsidP="00000000" w:rsidRDefault="00000000" w:rsidRPr="00000000" w14:paraId="00000005">
      <w:pPr>
        <w:contextualSpacing w:val="0"/>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Asistencias Jurídicas</w:t>
      </w:r>
      <w:r w:rsidDel="00000000" w:rsidR="00000000" w:rsidRPr="00000000">
        <w:rPr>
          <w:rFonts w:ascii="Arial" w:cs="Arial" w:eastAsia="Arial" w:hAnsi="Arial"/>
          <w:b w:val="1"/>
          <w:sz w:val="20"/>
          <w:szCs w:val="20"/>
          <w:rtl w:val="0"/>
        </w:rPr>
        <w:t xml:space="preserve">, juicios laborales. </w:t>
      </w:r>
    </w:p>
    <w:p w:rsidR="00000000" w:rsidDel="00000000" w:rsidP="00000000" w:rsidRDefault="00000000" w:rsidRPr="00000000" w14:paraId="00000006">
      <w:pPr>
        <w:shd w:fill="ffffff" w:val="clear"/>
        <w:tabs>
          <w:tab w:val="left" w:pos="2990"/>
        </w:tabs>
        <w:ind w:right="24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8">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oficial vigente, número telefónico; en su caso, estado civil.</w:t>
      </w:r>
    </w:p>
    <w:p w:rsidR="00000000" w:rsidDel="00000000" w:rsidP="00000000" w:rsidRDefault="00000000" w:rsidRPr="00000000" w14:paraId="00000009">
      <w:pPr>
        <w:shd w:fill="ffffff" w:val="clear"/>
        <w:ind w:right="49"/>
        <w:contextualSpacing w:val="0"/>
        <w:jc w:val="both"/>
        <w:rPr>
          <w:rFonts w:ascii="Arial" w:cs="Arial" w:eastAsia="Arial" w:hAnsi="Arial"/>
          <w:color w:val="000000"/>
          <w:sz w:val="20"/>
          <w:szCs w:val="20"/>
        </w:rPr>
      </w:pPr>
      <w:bookmarkStart w:colFirst="0" w:colLast="0" w:name="_gjdgxs" w:id="0"/>
      <w:bookmarkEnd w:id="0"/>
      <w:r w:rsidDel="00000000" w:rsidR="00000000" w:rsidRPr="00000000">
        <w:rPr>
          <w:rFonts w:ascii="Arial" w:cs="Arial" w:eastAsia="Arial" w:hAnsi="Arial"/>
          <w:sz w:val="20"/>
          <w:szCs w:val="20"/>
          <w:rtl w:val="0"/>
        </w:rPr>
        <w:t xml:space="preserve">Le informamos que no se recaban datos sensibles.</w:t>
      </w:r>
      <w:r w:rsidDel="00000000" w:rsidR="00000000" w:rsidRPr="00000000">
        <w:rPr>
          <w:rtl w:val="0"/>
        </w:rPr>
      </w:r>
    </w:p>
    <w:p w:rsidR="00000000" w:rsidDel="00000000" w:rsidP="00000000" w:rsidRDefault="00000000" w:rsidRPr="00000000" w14:paraId="0000000A">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B">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es el artículo 36 fracción XVII de la Ley Orgánica del Municipio Libre del Estado de Veracruz.</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son compartidos con las personas, empresas, organizaciones y autoridades distintas al responsable, y para los fines que se describen a continuación:</w:t>
      </w:r>
    </w:p>
    <w:tbl>
      <w:tblPr>
        <w:tblStyle w:val="Table1"/>
        <w:tblW w:w="8707.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4172"/>
        <w:gridCol w:w="1651"/>
        <w:gridCol w:w="2884"/>
        <w:tblGridChange w:id="0">
          <w:tblGrid>
            <w:gridCol w:w="4172"/>
            <w:gridCol w:w="1651"/>
            <w:gridCol w:w="2884"/>
          </w:tblGrid>
        </w:tblGridChange>
      </w:tblGrid>
      <w:tr>
        <w:trPr>
          <w:trHeight w:val="42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E">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Destinatario de los datos personales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contextualSpacing w:val="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País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0">
            <w:pPr>
              <w:contextualSpacing w:val="0"/>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Finalidad</w:t>
            </w:r>
            <w:r w:rsidDel="00000000" w:rsidR="00000000" w:rsidRPr="00000000">
              <w:rPr>
                <w:rtl w:val="0"/>
              </w:rPr>
            </w:r>
          </w:p>
        </w:tc>
      </w:tr>
      <w:tr>
        <w:trPr>
          <w:trHeight w:val="640" w:hRule="atLeast"/>
        </w:trPr>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Autoridades competentes, Tribunales de lo Familiar Poder Judicial de la Federación o, Juntas de Conciliación y Trabajo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México</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Derivado de requerimientos</w:t>
            </w:r>
          </w:p>
          <w:p w:rsidR="00000000" w:rsidDel="00000000" w:rsidP="00000000" w:rsidRDefault="00000000" w:rsidRPr="00000000" w14:paraId="0000001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realizados por las mismas.</w:t>
            </w:r>
          </w:p>
        </w:tc>
      </w:tr>
    </w:tbl>
    <w:p w:rsidR="00000000" w:rsidDel="00000000" w:rsidP="00000000" w:rsidRDefault="00000000" w:rsidRPr="00000000" w14:paraId="00000015">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6">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7">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8">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A">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23">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25">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7">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8">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A">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transparencia.puebloviejo@gmail.com</w:t>
      </w:r>
    </w:p>
    <w:p w:rsidR="00000000" w:rsidDel="00000000" w:rsidP="00000000" w:rsidRDefault="00000000" w:rsidRPr="00000000" w14:paraId="0000002C">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F">
      <w:pPr>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