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Trámites del Registro Civil </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Actas de Nacimiento, Actas de Defunción, actas de Matrimonio, Reconocimiento de hijos, Divorcios, Constancias de Estado Civil, Adopciones, Inscripción de actas.</w:t>
      </w:r>
      <w:r w:rsidDel="00000000" w:rsidR="00000000" w:rsidRPr="00000000">
        <w:rPr>
          <w:rtl w:val="0"/>
        </w:rPr>
      </w:r>
    </w:p>
    <w:p w:rsidR="00000000" w:rsidDel="00000000" w:rsidP="00000000" w:rsidRDefault="00000000" w:rsidRPr="00000000" w14:paraId="00000006">
      <w:pPr>
        <w:shd w:fill="ffffff" w:val="clear"/>
        <w:ind w:right="24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8">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9">
      <w:pPr>
        <w:shd w:fill="ffffff" w:val="clear"/>
        <w:ind w:right="49"/>
        <w:contextualSpacing w:val="0"/>
        <w:jc w:val="both"/>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Adicionalmente, se recaba datos sensibles como: Estado de salud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A">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el Código Civil del Estado de Veracruz; Ley Orgánica de Municipio Libre del Estado de Veracruz, artículo 59, Ley de Responsabilidades  de los servidores Públicos del estado de Veracruz.</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son compartidos con las personas, empresas, organizaciones y autoridades distintas al responsable, y para los fines que se describen a continuación:</w:t>
      </w:r>
    </w:p>
    <w:tbl>
      <w:tblPr>
        <w:tblStyle w:val="Table1"/>
        <w:tblW w:w="8752.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194"/>
        <w:gridCol w:w="1659"/>
        <w:gridCol w:w="2899"/>
        <w:tblGridChange w:id="0">
          <w:tblGrid>
            <w:gridCol w:w="4194"/>
            <w:gridCol w:w="1659"/>
            <w:gridCol w:w="2899"/>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E">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País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0">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Finalidad</w:t>
            </w: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General de Registro Civil del Estado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Integración del registro poblacional.</w:t>
            </w:r>
          </w:p>
        </w:tc>
      </w:tr>
    </w:tbl>
    <w:p w:rsidR="00000000" w:rsidDel="00000000" w:rsidP="00000000" w:rsidRDefault="00000000" w:rsidRPr="00000000" w14:paraId="00000014">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2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7">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8">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9">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transparencia.puebloviejo@gmail.com</w:t>
      </w:r>
    </w:p>
    <w:p w:rsidR="00000000" w:rsidDel="00000000" w:rsidP="00000000" w:rsidRDefault="00000000" w:rsidRPr="00000000" w14:paraId="0000002B">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E">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